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9F5CA" w14:textId="77777777" w:rsidR="00CB029D" w:rsidRPr="00AD4D34" w:rsidRDefault="00CB029D" w:rsidP="00CB149F">
      <w:pPr>
        <w:widowControl/>
        <w:spacing w:line="360" w:lineRule="auto"/>
        <w:jc w:val="left"/>
        <w:rPr>
          <w:rFonts w:ascii="Calibri" w:hAnsi="Calibri" w:cs="Times New Roman"/>
          <w:kern w:val="0"/>
          <w:sz w:val="22"/>
          <w:szCs w:val="22"/>
        </w:rPr>
      </w:pPr>
      <w:bookmarkStart w:id="0" w:name="_GoBack"/>
      <w:bookmarkEnd w:id="0"/>
      <w:r w:rsidRPr="00AD4D34">
        <w:rPr>
          <w:rFonts w:ascii="Calibri" w:hAnsi="Calibri" w:cs="Times New Roman"/>
          <w:sz w:val="22"/>
          <w:szCs w:val="22"/>
        </w:rPr>
        <w:t>Supplemental Table 4. Estimated survival rate after surgery</w:t>
      </w:r>
    </w:p>
    <w:tbl>
      <w:tblPr>
        <w:tblW w:w="847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985"/>
        <w:gridCol w:w="2126"/>
        <w:gridCol w:w="1985"/>
      </w:tblGrid>
      <w:tr w:rsidR="00CB029D" w:rsidRPr="00AD4D34" w14:paraId="0885AD75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42672C6F" w14:textId="77777777" w:rsidR="00CB029D" w:rsidRPr="00AD4D34" w:rsidRDefault="00CB029D" w:rsidP="00AD4D34">
            <w:pPr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Variable</w:t>
            </w:r>
          </w:p>
        </w:tc>
        <w:tc>
          <w:tcPr>
            <w:tcW w:w="1985" w:type="dxa"/>
            <w:vAlign w:val="center"/>
          </w:tcPr>
          <w:p w14:paraId="0B20874D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All patients (n=215)</w:t>
            </w:r>
          </w:p>
        </w:tc>
        <w:tc>
          <w:tcPr>
            <w:tcW w:w="2126" w:type="dxa"/>
            <w:vAlign w:val="center"/>
          </w:tcPr>
          <w:p w14:paraId="79F35ACD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Without glucocorticoids (n=103)</w:t>
            </w:r>
          </w:p>
        </w:tc>
        <w:tc>
          <w:tcPr>
            <w:tcW w:w="1985" w:type="dxa"/>
            <w:vAlign w:val="center"/>
          </w:tcPr>
          <w:p w14:paraId="07EF75C5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With glucocorticoids (n=112)</w:t>
            </w:r>
          </w:p>
        </w:tc>
      </w:tr>
      <w:tr w:rsidR="00CB149F" w:rsidRPr="00AD4D34" w14:paraId="31275CE8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0B5C1F66" w14:textId="77777777" w:rsidR="00CB149F" w:rsidRPr="00AD4D34" w:rsidRDefault="00CB149F" w:rsidP="00CB149F">
            <w:pPr>
              <w:jc w:val="left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 xml:space="preserve">Estimated </w:t>
            </w:r>
            <w:r>
              <w:rPr>
                <w:rFonts w:ascii="Calibri" w:hAnsi="Calibri" w:cs="Times New Roman" w:hint="eastAsia"/>
                <w:sz w:val="22"/>
                <w:szCs w:val="22"/>
              </w:rPr>
              <w:t>RFS</w:t>
            </w:r>
            <w:r>
              <w:rPr>
                <w:rFonts w:ascii="Calibri" w:hAnsi="Calibri" w:cs="Times New Roman"/>
                <w:sz w:val="22"/>
                <w:szCs w:val="22"/>
              </w:rPr>
              <w:t xml:space="preserve"> rate</w:t>
            </w:r>
          </w:p>
        </w:tc>
        <w:tc>
          <w:tcPr>
            <w:tcW w:w="1985" w:type="dxa"/>
            <w:vAlign w:val="center"/>
          </w:tcPr>
          <w:p w14:paraId="682D40E1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B1ED3C0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58AE48B0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</w:tr>
      <w:tr w:rsidR="00CB029D" w:rsidRPr="00AD4D34" w14:paraId="64EAA151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4E24095F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1-year RFS rate (%)</w:t>
            </w:r>
          </w:p>
        </w:tc>
        <w:tc>
          <w:tcPr>
            <w:tcW w:w="1985" w:type="dxa"/>
            <w:vAlign w:val="center"/>
          </w:tcPr>
          <w:p w14:paraId="57885A3A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44.9 (38.2-51.6)</w:t>
            </w:r>
          </w:p>
        </w:tc>
        <w:tc>
          <w:tcPr>
            <w:tcW w:w="2126" w:type="dxa"/>
            <w:vAlign w:val="center"/>
          </w:tcPr>
          <w:p w14:paraId="24FA3F4F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35.3 (26.1-44.5)</w:t>
            </w:r>
          </w:p>
        </w:tc>
        <w:tc>
          <w:tcPr>
            <w:tcW w:w="1985" w:type="dxa"/>
            <w:vAlign w:val="center"/>
          </w:tcPr>
          <w:p w14:paraId="2F5B842E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53.9 (44.5-63.3)</w:t>
            </w:r>
          </w:p>
        </w:tc>
      </w:tr>
      <w:tr w:rsidR="00CB029D" w:rsidRPr="00AD4D34" w14:paraId="42B8B122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183B7AA4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2-year RFS rate (%)</w:t>
            </w:r>
          </w:p>
        </w:tc>
        <w:tc>
          <w:tcPr>
            <w:tcW w:w="1985" w:type="dxa"/>
            <w:vAlign w:val="center"/>
          </w:tcPr>
          <w:p w14:paraId="3CDCB3BB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24.6 (18.7-30.5)</w:t>
            </w:r>
          </w:p>
        </w:tc>
        <w:tc>
          <w:tcPr>
            <w:tcW w:w="2126" w:type="dxa"/>
            <w:vAlign w:val="center"/>
          </w:tcPr>
          <w:p w14:paraId="79E7D1B7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15.7 (8.6-22.8)</w:t>
            </w:r>
          </w:p>
        </w:tc>
        <w:tc>
          <w:tcPr>
            <w:tcW w:w="1985" w:type="dxa"/>
            <w:vAlign w:val="center"/>
          </w:tcPr>
          <w:p w14:paraId="4D654FF1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33.0 (24.0-42.0)</w:t>
            </w:r>
          </w:p>
        </w:tc>
      </w:tr>
      <w:tr w:rsidR="00CB029D" w:rsidRPr="00AD4D34" w14:paraId="675EA929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4270445C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3-year RFS rate (%)</w:t>
            </w:r>
          </w:p>
        </w:tc>
        <w:tc>
          <w:tcPr>
            <w:tcW w:w="1985" w:type="dxa"/>
            <w:vAlign w:val="center"/>
          </w:tcPr>
          <w:p w14:paraId="67FB638C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13.2 (8.5-17.9)</w:t>
            </w:r>
          </w:p>
        </w:tc>
        <w:tc>
          <w:tcPr>
            <w:tcW w:w="2126" w:type="dxa"/>
            <w:vAlign w:val="center"/>
          </w:tcPr>
          <w:p w14:paraId="3226E1CE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6.1 (1.2-11.0)</w:t>
            </w:r>
          </w:p>
        </w:tc>
        <w:tc>
          <w:tcPr>
            <w:tcW w:w="1985" w:type="dxa"/>
            <w:vAlign w:val="center"/>
          </w:tcPr>
          <w:p w14:paraId="18B15D8D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19.9 (12.1-27.7)</w:t>
            </w:r>
          </w:p>
        </w:tc>
      </w:tr>
      <w:tr w:rsidR="00CB029D" w:rsidRPr="00AD4D34" w14:paraId="738B6467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358C79EA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5-year RFS rate (%)</w:t>
            </w:r>
          </w:p>
        </w:tc>
        <w:tc>
          <w:tcPr>
            <w:tcW w:w="1985" w:type="dxa"/>
            <w:vAlign w:val="center"/>
          </w:tcPr>
          <w:p w14:paraId="692DCEB0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10.8 (6.5-15.1)</w:t>
            </w:r>
          </w:p>
        </w:tc>
        <w:tc>
          <w:tcPr>
            <w:tcW w:w="2126" w:type="dxa"/>
            <w:vAlign w:val="center"/>
          </w:tcPr>
          <w:p w14:paraId="1D5F171F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4.9 (0.6-9.2)</w:t>
            </w:r>
          </w:p>
        </w:tc>
        <w:tc>
          <w:tcPr>
            <w:tcW w:w="1985" w:type="dxa"/>
            <w:vAlign w:val="center"/>
          </w:tcPr>
          <w:p w14:paraId="6406CA4A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16.4 (9.1-23.7)</w:t>
            </w:r>
          </w:p>
        </w:tc>
      </w:tr>
      <w:tr w:rsidR="00CB149F" w:rsidRPr="00AD4D34" w14:paraId="1DB3B49A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4597B65C" w14:textId="77777777" w:rsidR="00CB149F" w:rsidRPr="00AD4D34" w:rsidRDefault="00CB149F" w:rsidP="00CB149F">
            <w:pPr>
              <w:jc w:val="left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 xml:space="preserve">Estimated </w:t>
            </w:r>
            <w:r>
              <w:rPr>
                <w:rFonts w:ascii="Calibri" w:hAnsi="Calibri" w:cs="Times New Roman" w:hint="eastAsia"/>
                <w:sz w:val="22"/>
                <w:szCs w:val="22"/>
              </w:rPr>
              <w:t>O</w:t>
            </w:r>
            <w:r>
              <w:rPr>
                <w:rFonts w:ascii="Calibri" w:hAnsi="Calibri" w:cs="Times New Roman"/>
                <w:sz w:val="22"/>
                <w:szCs w:val="22"/>
              </w:rPr>
              <w:t>S rate</w:t>
            </w:r>
          </w:p>
        </w:tc>
        <w:tc>
          <w:tcPr>
            <w:tcW w:w="1985" w:type="dxa"/>
            <w:vAlign w:val="center"/>
          </w:tcPr>
          <w:p w14:paraId="683BB379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56110CF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07CEA59A" w14:textId="77777777" w:rsidR="00CB149F" w:rsidRPr="00AD4D34" w:rsidRDefault="00CB149F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</w:tc>
      </w:tr>
      <w:tr w:rsidR="00CB029D" w:rsidRPr="00AD4D34" w14:paraId="3135ACC3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12243F81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1-year OS rate (%)</w:t>
            </w:r>
          </w:p>
        </w:tc>
        <w:tc>
          <w:tcPr>
            <w:tcW w:w="1985" w:type="dxa"/>
            <w:vAlign w:val="center"/>
          </w:tcPr>
          <w:p w14:paraId="13A4FD40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70.8 (64.7-76.9)</w:t>
            </w:r>
          </w:p>
        </w:tc>
        <w:tc>
          <w:tcPr>
            <w:tcW w:w="2126" w:type="dxa"/>
            <w:vAlign w:val="center"/>
          </w:tcPr>
          <w:p w14:paraId="3B943B5E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62.4 (53.0-71.8)</w:t>
            </w:r>
          </w:p>
        </w:tc>
        <w:tc>
          <w:tcPr>
            <w:tcW w:w="1985" w:type="dxa"/>
            <w:vAlign w:val="center"/>
          </w:tcPr>
          <w:p w14:paraId="40B66B0D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78.4 (70.8-86.0)</w:t>
            </w:r>
          </w:p>
        </w:tc>
      </w:tr>
      <w:tr w:rsidR="00CB029D" w:rsidRPr="00AD4D34" w14:paraId="769421B5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733182EA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2-year OS rate (%)</w:t>
            </w:r>
          </w:p>
        </w:tc>
        <w:tc>
          <w:tcPr>
            <w:tcW w:w="1985" w:type="dxa"/>
            <w:vAlign w:val="center"/>
          </w:tcPr>
          <w:p w14:paraId="4D782F30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36.4 (29.9-42.9)</w:t>
            </w:r>
          </w:p>
        </w:tc>
        <w:tc>
          <w:tcPr>
            <w:tcW w:w="2126" w:type="dxa"/>
            <w:vAlign w:val="center"/>
          </w:tcPr>
          <w:p w14:paraId="16B718BC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26.5 (17.7-35.3)</w:t>
            </w:r>
          </w:p>
        </w:tc>
        <w:tc>
          <w:tcPr>
            <w:tcW w:w="1985" w:type="dxa"/>
            <w:vAlign w:val="center"/>
          </w:tcPr>
          <w:p w14:paraId="093CA50A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45.4 (36.0-54.8)</w:t>
            </w:r>
          </w:p>
        </w:tc>
      </w:tr>
      <w:tr w:rsidR="00CB029D" w:rsidRPr="00AD4D34" w14:paraId="0FDE4D53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2BDE1BFC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3-year OS rate (%)</w:t>
            </w:r>
          </w:p>
        </w:tc>
        <w:tc>
          <w:tcPr>
            <w:tcW w:w="1985" w:type="dxa"/>
            <w:vAlign w:val="center"/>
          </w:tcPr>
          <w:p w14:paraId="02E45683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24.6 (18.5-30.7)</w:t>
            </w:r>
          </w:p>
        </w:tc>
        <w:tc>
          <w:tcPr>
            <w:tcW w:w="2126" w:type="dxa"/>
            <w:vAlign w:val="center"/>
          </w:tcPr>
          <w:p w14:paraId="0CD78967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15.4 (8.0-22.8)</w:t>
            </w:r>
          </w:p>
        </w:tc>
        <w:tc>
          <w:tcPr>
            <w:tcW w:w="1985" w:type="dxa"/>
            <w:vAlign w:val="center"/>
          </w:tcPr>
          <w:p w14:paraId="43BEF588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32.9 (23.9-41.9)</w:t>
            </w:r>
          </w:p>
        </w:tc>
      </w:tr>
      <w:tr w:rsidR="00CB029D" w:rsidRPr="00AD4D34" w14:paraId="63B47CDE" w14:textId="77777777" w:rsidTr="00CB149F">
        <w:trPr>
          <w:trHeight w:val="340"/>
        </w:trPr>
        <w:tc>
          <w:tcPr>
            <w:tcW w:w="2376" w:type="dxa"/>
            <w:vAlign w:val="center"/>
          </w:tcPr>
          <w:p w14:paraId="5E49150F" w14:textId="77777777" w:rsidR="00CB029D" w:rsidRPr="00AD4D34" w:rsidRDefault="00CB029D" w:rsidP="00AD4D34">
            <w:pPr>
              <w:ind w:left="118"/>
              <w:jc w:val="left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5-year OS rate (%)</w:t>
            </w:r>
          </w:p>
        </w:tc>
        <w:tc>
          <w:tcPr>
            <w:tcW w:w="1985" w:type="dxa"/>
            <w:vAlign w:val="center"/>
          </w:tcPr>
          <w:p w14:paraId="34B9CB39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11.1 (6.2-16.0)</w:t>
            </w:r>
          </w:p>
        </w:tc>
        <w:tc>
          <w:tcPr>
            <w:tcW w:w="2126" w:type="dxa"/>
            <w:vAlign w:val="center"/>
          </w:tcPr>
          <w:p w14:paraId="56B61D53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5.8 (0.5-11.1)</w:t>
            </w:r>
          </w:p>
        </w:tc>
        <w:tc>
          <w:tcPr>
            <w:tcW w:w="1985" w:type="dxa"/>
            <w:vAlign w:val="center"/>
          </w:tcPr>
          <w:p w14:paraId="238FEE44" w14:textId="77777777" w:rsidR="00CB029D" w:rsidRPr="00AD4D34" w:rsidRDefault="00CB029D" w:rsidP="00AD4D34">
            <w:pPr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AD4D34">
              <w:rPr>
                <w:rFonts w:ascii="Calibri" w:hAnsi="Calibri" w:cs="Times New Roman"/>
                <w:sz w:val="22"/>
                <w:szCs w:val="22"/>
              </w:rPr>
              <w:t>16.0 (8.0-24.0)</w:t>
            </w:r>
          </w:p>
        </w:tc>
      </w:tr>
    </w:tbl>
    <w:p w14:paraId="1E274C82" w14:textId="77777777" w:rsidR="00CB029D" w:rsidRPr="00AD4D34" w:rsidRDefault="00CB029D" w:rsidP="00CB149F">
      <w:pPr>
        <w:pStyle w:val="NoSpacing1"/>
        <w:snapToGrid/>
        <w:spacing w:line="360" w:lineRule="auto"/>
        <w:rPr>
          <w:rFonts w:ascii="Calibri" w:hAnsi="Calibri"/>
        </w:rPr>
      </w:pPr>
      <w:r w:rsidRPr="00AD4D34">
        <w:rPr>
          <w:rFonts w:ascii="Calibri" w:hAnsi="Calibri"/>
        </w:rPr>
        <w:t>Results are presented as % (95% CI).</w:t>
      </w:r>
    </w:p>
    <w:p w14:paraId="64AED45E" w14:textId="77777777" w:rsidR="00CB029D" w:rsidRPr="00AD4D34" w:rsidRDefault="00CB029D" w:rsidP="00CB149F">
      <w:pPr>
        <w:spacing w:line="360" w:lineRule="auto"/>
        <w:jc w:val="left"/>
        <w:rPr>
          <w:rFonts w:ascii="Calibri" w:hAnsi="Calibri" w:cs="Times New Roman"/>
          <w:sz w:val="22"/>
          <w:szCs w:val="22"/>
        </w:rPr>
      </w:pPr>
      <w:r w:rsidRPr="00AD4D34">
        <w:rPr>
          <w:rFonts w:ascii="Calibri" w:hAnsi="Calibri" w:cs="Times New Roman"/>
          <w:sz w:val="22"/>
          <w:szCs w:val="22"/>
        </w:rPr>
        <w:t>RFS, recurrence-free survival; OS, overall survival.</w:t>
      </w:r>
    </w:p>
    <w:p w14:paraId="2215FC62" w14:textId="77777777" w:rsidR="00CB029D" w:rsidRPr="00AD4D34" w:rsidRDefault="00CB029D">
      <w:pPr>
        <w:rPr>
          <w:rFonts w:ascii="Calibri" w:hAnsi="Calibri" w:cs="Times New Roman"/>
          <w:sz w:val="22"/>
          <w:szCs w:val="22"/>
        </w:rPr>
      </w:pPr>
    </w:p>
    <w:sectPr w:rsidR="00CB029D" w:rsidRPr="00AD4D34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492838" w14:textId="77777777" w:rsidR="00EA24E1" w:rsidRDefault="00EA24E1">
      <w:r>
        <w:separator/>
      </w:r>
    </w:p>
  </w:endnote>
  <w:endnote w:type="continuationSeparator" w:id="0">
    <w:p w14:paraId="5BB4FFAE" w14:textId="77777777" w:rsidR="00EA24E1" w:rsidRDefault="00EA2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47F61" w14:textId="77777777" w:rsidR="00EA24E1" w:rsidRDefault="00EA24E1">
      <w:r>
        <w:separator/>
      </w:r>
    </w:p>
  </w:footnote>
  <w:footnote w:type="continuationSeparator" w:id="0">
    <w:p w14:paraId="2BD66F40" w14:textId="77777777" w:rsidR="00EA24E1" w:rsidRDefault="00EA2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D2475" w14:textId="77777777" w:rsidR="00A36C8D" w:rsidRDefault="00A36C8D" w:rsidP="00CB029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DEC754D" w14:textId="77777777" w:rsidR="00A36C8D" w:rsidRDefault="00A36C8D" w:rsidP="00A36C8D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D1DCB" w14:textId="77777777" w:rsidR="00A36C8D" w:rsidRDefault="00A36C8D" w:rsidP="00CB029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14:paraId="130CE4EB" w14:textId="77777777" w:rsidR="00A36C8D" w:rsidRDefault="00A36C8D" w:rsidP="00A36C8D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D34"/>
    <w:rsid w:val="001C71B0"/>
    <w:rsid w:val="00795CBE"/>
    <w:rsid w:val="00A36C8D"/>
    <w:rsid w:val="00AD4D34"/>
    <w:rsid w:val="00CB029D"/>
    <w:rsid w:val="00CB149F"/>
    <w:rsid w:val="00EA24E1"/>
    <w:rsid w:val="00FF5E13"/>
    <w:rsid w:val="58D8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E4E4FE"/>
  <w15:chartTrackingRefBased/>
  <w15:docId w15:val="{2B76ABB4-E6F9-44AA-8532-DD1E6DFE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1"/>
      <w:szCs w:val="21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basedOn w:val="a"/>
    <w:uiPriority w:val="99"/>
    <w:qFormat/>
    <w:pPr>
      <w:widowControl/>
      <w:adjustRightInd w:val="0"/>
      <w:snapToGrid w:val="0"/>
      <w:jc w:val="left"/>
    </w:pPr>
    <w:rPr>
      <w:rFonts w:ascii="Tahoma" w:hAnsi="Tahoma" w:cs="Times New Roman"/>
      <w:kern w:val="0"/>
      <w:sz w:val="22"/>
      <w:szCs w:val="22"/>
    </w:rPr>
  </w:style>
  <w:style w:type="paragraph" w:styleId="a3">
    <w:name w:val="header"/>
    <w:basedOn w:val="a"/>
    <w:rsid w:val="00A36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A36C8D"/>
  </w:style>
  <w:style w:type="paragraph" w:styleId="a5">
    <w:name w:val="footer"/>
    <w:basedOn w:val="a"/>
    <w:link w:val="a6"/>
    <w:rsid w:val="00CB149F"/>
    <w:pPr>
      <w:tabs>
        <w:tab w:val="center" w:pos="4153"/>
        <w:tab w:val="right" w:pos="8306"/>
      </w:tabs>
      <w:snapToGrid w:val="0"/>
      <w:jc w:val="left"/>
    </w:pPr>
    <w:rPr>
      <w:rFonts w:cs="Angsana New"/>
      <w:sz w:val="18"/>
      <w:szCs w:val="22"/>
    </w:rPr>
  </w:style>
  <w:style w:type="character" w:customStyle="1" w:styleId="a6">
    <w:name w:val="页脚 字符"/>
    <w:basedOn w:val="a0"/>
    <w:link w:val="a5"/>
    <w:rsid w:val="00CB149F"/>
    <w:rPr>
      <w:rFonts w:ascii="宋体" w:hAnsi="宋体" w:cs="Angsana New"/>
      <w:kern w:val="2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KT0100</dc:creator>
  <cp:keywords/>
  <cp:lastModifiedBy>Dong-Xin Wang</cp:lastModifiedBy>
  <cp:revision>2</cp:revision>
  <dcterms:created xsi:type="dcterms:W3CDTF">2020-03-28T12:38:00Z</dcterms:created>
  <dcterms:modified xsi:type="dcterms:W3CDTF">2020-03-28T12:38:00Z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